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37F" w:rsidRDefault="0055137F" w:rsidP="0055137F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#117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</w:rPr>
        <w:t>R1-240</w:t>
      </w:r>
      <w:r w:rsidR="00D97F58">
        <w:rPr>
          <w:rFonts w:ascii="Arial" w:eastAsia="Batang" w:hAnsi="Arial" w:cs="Arial"/>
          <w:b/>
          <w:bCs/>
        </w:rPr>
        <w:t>4803</w:t>
      </w:r>
    </w:p>
    <w:p w:rsidR="0055137F" w:rsidRDefault="0055137F" w:rsidP="0055137F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Fukuoka City, Fukuoka, JP, May 20</w:t>
      </w:r>
      <w:r w:rsidRPr="00A316E9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>
        <w:rPr>
          <w:rFonts w:ascii="Arial" w:eastAsia="Batang" w:hAnsi="Arial" w:cs="Arial"/>
          <w:b/>
          <w:bCs/>
          <w:lang w:val="en-GB"/>
        </w:rPr>
        <w:t xml:space="preserve"> – May 24</w:t>
      </w:r>
      <w:r w:rsidRPr="00A316E9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>
        <w:rPr>
          <w:rFonts w:ascii="Arial" w:eastAsia="Batang" w:hAnsi="Arial" w:cs="Arial"/>
          <w:b/>
          <w:bCs/>
          <w:lang w:val="en-GB"/>
        </w:rPr>
        <w:t>, 2024</w:t>
      </w:r>
    </w:p>
    <w:p w:rsidR="0055137F" w:rsidRDefault="0055137F" w:rsidP="0055137F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:rsidR="0055137F" w:rsidRDefault="0055137F" w:rsidP="0055137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9.4.2.2</w:t>
      </w:r>
      <w:bookmarkStart w:id="0" w:name="_GoBack"/>
      <w:bookmarkEnd w:id="0"/>
    </w:p>
    <w:p w:rsidR="0055137F" w:rsidRDefault="0055137F" w:rsidP="0055137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4110A6">
        <w:rPr>
          <w:sz w:val="22"/>
          <w:szCs w:val="22"/>
        </w:rPr>
        <w:t>IIT K</w:t>
      </w:r>
      <w:r>
        <w:rPr>
          <w:sz w:val="22"/>
          <w:szCs w:val="22"/>
        </w:rPr>
        <w:t>haragpur</w:t>
      </w:r>
    </w:p>
    <w:p w:rsidR="0055137F" w:rsidRPr="00CD4A78" w:rsidRDefault="0055137F" w:rsidP="0055137F">
      <w:pPr>
        <w:pStyle w:val="3GPPHeader"/>
        <w:jc w:val="both"/>
        <w:rPr>
          <w:bCs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Pr="008A0803">
        <w:rPr>
          <w:sz w:val="22"/>
          <w:szCs w:val="22"/>
        </w:rPr>
        <w:t>Discussion on Frame Structure and Timing Aspects for Ambient IoT</w:t>
      </w:r>
    </w:p>
    <w:p w:rsidR="0055137F" w:rsidRDefault="0055137F" w:rsidP="0055137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:rsidR="0055137F" w:rsidRDefault="0055137F" w:rsidP="0055137F">
      <w:pPr>
        <w:pStyle w:val="Heading1"/>
        <w:numPr>
          <w:ilvl w:val="0"/>
          <w:numId w:val="2"/>
        </w:numPr>
        <w:jc w:val="both"/>
      </w:pPr>
      <w:r>
        <w:t>Introduction</w:t>
      </w:r>
    </w:p>
    <w:p w:rsidR="0055137F" w:rsidRPr="00D16992" w:rsidRDefault="0055137F" w:rsidP="0055137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document includes our discussions, observations and proposals on the </w:t>
      </w:r>
      <w:proofErr w:type="spellStart"/>
      <w:r>
        <w:rPr>
          <w:sz w:val="20"/>
          <w:szCs w:val="20"/>
        </w:rPr>
        <w:t>midamble</w:t>
      </w:r>
      <w:proofErr w:type="spellEnd"/>
      <w:r>
        <w:rPr>
          <w:sz w:val="20"/>
          <w:szCs w:val="20"/>
        </w:rPr>
        <w:t xml:space="preserve"> for Ambient IoT for Release 19. Specifically, we focus on defining possible direction of study for </w:t>
      </w:r>
      <w:proofErr w:type="spellStart"/>
      <w:r>
        <w:rPr>
          <w:sz w:val="20"/>
          <w:szCs w:val="20"/>
        </w:rPr>
        <w:t>midamble</w:t>
      </w:r>
      <w:proofErr w:type="spellEnd"/>
      <w:r>
        <w:rPr>
          <w:sz w:val="20"/>
          <w:szCs w:val="20"/>
        </w:rPr>
        <w:t xml:space="preserve"> placement in the A-IoT frame. In this section we reproduce the relevant agreements i</w:t>
      </w:r>
      <w:r w:rsidRPr="008317E5">
        <w:rPr>
          <w:rFonts w:hint="eastAsia"/>
          <w:sz w:val="20"/>
          <w:szCs w:val="20"/>
        </w:rPr>
        <w:t>n the RAN1 #116</w:t>
      </w:r>
      <w:r w:rsidRPr="008317E5">
        <w:rPr>
          <w:sz w:val="20"/>
          <w:szCs w:val="20"/>
        </w:rPr>
        <w:t>_bis</w:t>
      </w:r>
      <w:r w:rsidRPr="008317E5">
        <w:rPr>
          <w:rFonts w:hint="eastAsia"/>
          <w:sz w:val="20"/>
          <w:szCs w:val="20"/>
        </w:rPr>
        <w:t xml:space="preserve"> meeting [1], as follows</w:t>
      </w:r>
    </w:p>
    <w:p w:rsidR="0055137F" w:rsidRDefault="0055137F" w:rsidP="0055137F">
      <w:pPr>
        <w:jc w:val="both"/>
        <w:rPr>
          <w:sz w:val="20"/>
          <w:szCs w:val="20"/>
        </w:rPr>
      </w:pPr>
    </w:p>
    <w:tbl>
      <w:tblPr>
        <w:tblStyle w:val="1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0"/>
      </w:tblGrid>
      <w:tr w:rsidR="0055137F" w:rsidTr="00A5445E">
        <w:tc>
          <w:tcPr>
            <w:tcW w:w="9010" w:type="dxa"/>
          </w:tcPr>
          <w:p w:rsidR="0055137F" w:rsidRPr="008317E5" w:rsidRDefault="0055137F" w:rsidP="00A5445E">
            <w:pPr>
              <w:adjustRightInd w:val="0"/>
              <w:snapToGrid w:val="0"/>
              <w:spacing w:afterLines="50" w:after="120"/>
              <w:rPr>
                <w:rFonts w:eastAsia="Batang"/>
                <w:bCs/>
                <w:sz w:val="20"/>
                <w:lang w:val="en-US" w:eastAsia="en-US"/>
              </w:rPr>
            </w:pPr>
            <w:r w:rsidRPr="008317E5">
              <w:rPr>
                <w:bCs/>
                <w:sz w:val="20"/>
                <w:highlight w:val="green"/>
                <w:lang w:val="en-US"/>
              </w:rPr>
              <w:t>Agreement</w:t>
            </w:r>
          </w:p>
          <w:p w:rsidR="0055137F" w:rsidRPr="008317E5" w:rsidRDefault="0055137F" w:rsidP="00A5445E">
            <w:pPr>
              <w:adjustRightInd w:val="0"/>
              <w:snapToGrid w:val="0"/>
              <w:spacing w:afterLines="50" w:after="120"/>
              <w:rPr>
                <w:bCs/>
                <w:sz w:val="20"/>
                <w:lang w:val="en-US"/>
              </w:rPr>
            </w:pPr>
            <w:r w:rsidRPr="008317E5">
              <w:rPr>
                <w:bCs/>
                <w:sz w:val="20"/>
                <w:lang w:val="en-US"/>
              </w:rPr>
              <w:t xml:space="preserve">To determine or derive the end of PRDCH transmission, study at least following options:  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  <w:lang w:val="en-GB"/>
              </w:rPr>
            </w:pPr>
            <w:r w:rsidRPr="008317E5">
              <w:rPr>
                <w:sz w:val="20"/>
              </w:rPr>
              <w:t xml:space="preserve">Option 1: R2D </w:t>
            </w:r>
            <w:proofErr w:type="spellStart"/>
            <w:r w:rsidRPr="008317E5">
              <w:rPr>
                <w:sz w:val="20"/>
              </w:rPr>
              <w:t>postamble</w:t>
            </w:r>
            <w:proofErr w:type="spellEnd"/>
            <w:r w:rsidRPr="008317E5">
              <w:rPr>
                <w:sz w:val="20"/>
              </w:rPr>
              <w:t xml:space="preserve"> immediately follows the PRDCH to indicate the end of the PRDCH.       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</w:rPr>
            </w:pPr>
            <w:r w:rsidRPr="008317E5">
              <w:rPr>
                <w:sz w:val="20"/>
              </w:rPr>
              <w:t>Option 2: Based on R2D control information.</w:t>
            </w:r>
          </w:p>
          <w:p w:rsidR="0055137F" w:rsidRPr="008317E5" w:rsidRDefault="0055137F" w:rsidP="00A5445E">
            <w:pPr>
              <w:widowControl w:val="0"/>
              <w:tabs>
                <w:tab w:val="left" w:pos="360"/>
              </w:tabs>
              <w:adjustRightInd w:val="0"/>
              <w:snapToGrid w:val="0"/>
              <w:spacing w:afterLines="50" w:after="120"/>
              <w:rPr>
                <w:b/>
                <w:bCs/>
                <w:sz w:val="20"/>
                <w:lang w:val="en-US"/>
              </w:rPr>
            </w:pPr>
          </w:p>
          <w:p w:rsidR="0055137F" w:rsidRPr="008317E5" w:rsidRDefault="0055137F" w:rsidP="00A5445E">
            <w:pPr>
              <w:adjustRightInd w:val="0"/>
              <w:snapToGrid w:val="0"/>
              <w:spacing w:afterLines="50" w:after="120"/>
              <w:rPr>
                <w:bCs/>
                <w:sz w:val="20"/>
                <w:lang w:val="en-US"/>
              </w:rPr>
            </w:pPr>
            <w:r w:rsidRPr="008317E5">
              <w:rPr>
                <w:bCs/>
                <w:sz w:val="20"/>
                <w:highlight w:val="green"/>
                <w:lang w:val="en-US"/>
              </w:rPr>
              <w:t>Agreement</w:t>
            </w:r>
          </w:p>
          <w:p w:rsidR="0055137F" w:rsidRPr="008317E5" w:rsidRDefault="0055137F" w:rsidP="00A5445E">
            <w:pPr>
              <w:adjustRightInd w:val="0"/>
              <w:snapToGrid w:val="0"/>
              <w:spacing w:afterLines="50" w:after="120"/>
              <w:rPr>
                <w:bCs/>
                <w:sz w:val="20"/>
                <w:lang w:val="en-US"/>
              </w:rPr>
            </w:pPr>
            <w:r w:rsidRPr="008317E5">
              <w:rPr>
                <w:bCs/>
                <w:sz w:val="20"/>
                <w:lang w:val="en-US"/>
              </w:rPr>
              <w:t xml:space="preserve">For the reader to acquire the end of PDRCH transmission, study at least following options:  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  <w:lang w:val="en-GB"/>
              </w:rPr>
            </w:pPr>
            <w:r w:rsidRPr="008317E5">
              <w:rPr>
                <w:sz w:val="20"/>
              </w:rPr>
              <w:t xml:space="preserve">Option 1: D2R </w:t>
            </w:r>
            <w:proofErr w:type="spellStart"/>
            <w:r w:rsidRPr="008317E5">
              <w:rPr>
                <w:sz w:val="20"/>
              </w:rPr>
              <w:t>postamble</w:t>
            </w:r>
            <w:proofErr w:type="spellEnd"/>
            <w:r w:rsidRPr="008317E5">
              <w:rPr>
                <w:sz w:val="20"/>
              </w:rPr>
              <w:t xml:space="preserve"> immediately follows the PDRCH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</w:rPr>
            </w:pPr>
            <w:r w:rsidRPr="008317E5">
              <w:rPr>
                <w:sz w:val="20"/>
              </w:rPr>
              <w:t>Option 2: Based on control information</w:t>
            </w:r>
          </w:p>
          <w:p w:rsidR="0055137F" w:rsidRPr="008317E5" w:rsidRDefault="0055137F" w:rsidP="00A5445E">
            <w:pPr>
              <w:widowControl w:val="0"/>
              <w:adjustRightInd w:val="0"/>
              <w:snapToGrid w:val="0"/>
              <w:spacing w:afterLines="50" w:after="120"/>
              <w:rPr>
                <w:b/>
                <w:bCs/>
                <w:sz w:val="20"/>
                <w:lang w:val="en-US"/>
              </w:rPr>
            </w:pPr>
          </w:p>
          <w:p w:rsidR="0055137F" w:rsidRPr="008317E5" w:rsidRDefault="0055137F" w:rsidP="00A5445E">
            <w:pPr>
              <w:adjustRightInd w:val="0"/>
              <w:snapToGrid w:val="0"/>
              <w:spacing w:afterLines="50" w:after="120"/>
              <w:rPr>
                <w:bCs/>
                <w:sz w:val="20"/>
                <w:lang w:val="en-US"/>
              </w:rPr>
            </w:pPr>
            <w:r w:rsidRPr="008317E5">
              <w:rPr>
                <w:bCs/>
                <w:sz w:val="20"/>
                <w:highlight w:val="green"/>
                <w:lang w:val="en-US"/>
              </w:rPr>
              <w:t>Agreement</w:t>
            </w:r>
          </w:p>
          <w:p w:rsidR="0055137F" w:rsidRPr="008317E5" w:rsidRDefault="0055137F" w:rsidP="00A5445E">
            <w:pPr>
              <w:adjustRightInd w:val="0"/>
              <w:snapToGrid w:val="0"/>
              <w:spacing w:afterLines="50" w:after="120"/>
              <w:rPr>
                <w:rFonts w:eastAsia="SimSun"/>
                <w:bCs/>
                <w:sz w:val="20"/>
                <w:lang w:val="en-GB"/>
              </w:rPr>
            </w:pPr>
            <w:r w:rsidRPr="008317E5">
              <w:rPr>
                <w:rFonts w:eastAsia="SimSun"/>
                <w:bCs/>
                <w:sz w:val="20"/>
              </w:rPr>
              <w:t xml:space="preserve">For D2R transmission, study the necessity of </w:t>
            </w:r>
            <w:proofErr w:type="spellStart"/>
            <w:r w:rsidRPr="008317E5">
              <w:rPr>
                <w:rFonts w:eastAsia="SimSun"/>
                <w:bCs/>
                <w:sz w:val="20"/>
              </w:rPr>
              <w:t>midamble</w:t>
            </w:r>
            <w:proofErr w:type="spellEnd"/>
            <w:r w:rsidRPr="008317E5">
              <w:rPr>
                <w:rFonts w:eastAsia="SimSun"/>
                <w:bCs/>
                <w:sz w:val="20"/>
              </w:rPr>
              <w:t xml:space="preserve"> at least for the purpose of performing timing/frequency tracking or channel estimation or interference estimation, considering at least the following: 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eastAsia="Batang"/>
                <w:sz w:val="20"/>
              </w:rPr>
            </w:pPr>
            <w:r w:rsidRPr="008317E5">
              <w:rPr>
                <w:sz w:val="20"/>
              </w:rPr>
              <w:t xml:space="preserve">Modulation and Coding schemes, e.g., data modulation, line/channel coding 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</w:rPr>
            </w:pPr>
            <w:r w:rsidRPr="008317E5">
              <w:rPr>
                <w:sz w:val="20"/>
              </w:rPr>
              <w:t>Receiving methods, e.g., coherent or non-coherent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</w:rPr>
            </w:pPr>
            <w:r w:rsidRPr="008317E5">
              <w:rPr>
                <w:sz w:val="20"/>
              </w:rPr>
              <w:t>D2R transmission length/packet size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</w:rPr>
            </w:pPr>
            <w:proofErr w:type="spellStart"/>
            <w:r w:rsidRPr="008317E5">
              <w:rPr>
                <w:sz w:val="20"/>
              </w:rPr>
              <w:t>Midamble</w:t>
            </w:r>
            <w:proofErr w:type="spellEnd"/>
            <w:r w:rsidRPr="008317E5">
              <w:rPr>
                <w:sz w:val="20"/>
              </w:rPr>
              <w:t xml:space="preserve"> overhead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</w:rPr>
            </w:pPr>
            <w:r w:rsidRPr="008317E5">
              <w:rPr>
                <w:sz w:val="20"/>
              </w:rPr>
              <w:t>Timing/frequency accuracy</w:t>
            </w:r>
          </w:p>
          <w:p w:rsidR="0055137F" w:rsidRPr="008317E5" w:rsidRDefault="0055137F" w:rsidP="0055137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sz w:val="20"/>
              </w:rPr>
            </w:pPr>
            <w:r w:rsidRPr="008317E5">
              <w:rPr>
                <w:sz w:val="20"/>
              </w:rPr>
              <w:t>Phase accuracy</w:t>
            </w:r>
          </w:p>
          <w:p w:rsidR="0055137F" w:rsidRPr="008317E5" w:rsidRDefault="0055137F" w:rsidP="00A5445E">
            <w:pPr>
              <w:widowControl w:val="0"/>
              <w:autoSpaceDE w:val="0"/>
              <w:autoSpaceDN w:val="0"/>
              <w:adjustRightInd w:val="0"/>
              <w:snapToGrid w:val="0"/>
              <w:spacing w:afterLines="50" w:after="120"/>
              <w:ind w:left="822"/>
              <w:rPr>
                <w:sz w:val="20"/>
              </w:rPr>
            </w:pPr>
          </w:p>
          <w:p w:rsidR="0055137F" w:rsidRPr="008317E5" w:rsidRDefault="0055137F" w:rsidP="00A5445E">
            <w:pPr>
              <w:adjustRightInd w:val="0"/>
              <w:snapToGrid w:val="0"/>
              <w:spacing w:afterLines="50" w:after="120"/>
              <w:rPr>
                <w:rFonts w:eastAsia="Batang"/>
                <w:bCs/>
                <w:sz w:val="20"/>
                <w:lang w:val="en-US" w:eastAsia="en-US"/>
              </w:rPr>
            </w:pPr>
            <w:r w:rsidRPr="008317E5">
              <w:rPr>
                <w:bCs/>
                <w:sz w:val="20"/>
                <w:highlight w:val="green"/>
                <w:lang w:val="en-US"/>
              </w:rPr>
              <w:t>Agreement</w:t>
            </w:r>
          </w:p>
          <w:p w:rsidR="0055137F" w:rsidRPr="008317E5" w:rsidRDefault="0055137F" w:rsidP="00A5445E">
            <w:pPr>
              <w:adjustRightInd w:val="0"/>
              <w:snapToGrid w:val="0"/>
              <w:spacing w:afterLines="50" w:after="120"/>
              <w:rPr>
                <w:bCs/>
                <w:sz w:val="20"/>
                <w:lang w:val="en-US"/>
              </w:rPr>
            </w:pPr>
            <w:r w:rsidRPr="008317E5">
              <w:rPr>
                <w:bCs/>
                <w:sz w:val="20"/>
                <w:lang w:val="en-US"/>
              </w:rPr>
              <w:t xml:space="preserve">RAN1 study the R2D transmission without </w:t>
            </w:r>
            <w:proofErr w:type="spellStart"/>
            <w:r w:rsidRPr="008317E5">
              <w:rPr>
                <w:bCs/>
                <w:sz w:val="20"/>
                <w:lang w:val="en-US"/>
              </w:rPr>
              <w:t>midamble</w:t>
            </w:r>
            <w:proofErr w:type="spellEnd"/>
            <w:r w:rsidRPr="008317E5">
              <w:rPr>
                <w:bCs/>
                <w:sz w:val="20"/>
                <w:lang w:val="en-US"/>
              </w:rPr>
              <w:t xml:space="preserve"> as the baseline if Manchester encoding is used.</w:t>
            </w:r>
          </w:p>
          <w:p w:rsidR="0055137F" w:rsidRPr="005766E9" w:rsidRDefault="0055137F" w:rsidP="00A5445E">
            <w:pPr>
              <w:spacing w:after="180"/>
              <w:rPr>
                <w:sz w:val="20"/>
                <w:szCs w:val="20"/>
              </w:rPr>
            </w:pPr>
            <w:r w:rsidRPr="008317E5">
              <w:rPr>
                <w:sz w:val="20"/>
              </w:rPr>
              <w:t xml:space="preserve">FFS the necessity for the R2D transmission with </w:t>
            </w:r>
            <w:proofErr w:type="spellStart"/>
            <w:r w:rsidRPr="008317E5">
              <w:rPr>
                <w:sz w:val="20"/>
              </w:rPr>
              <w:t>midamble</w:t>
            </w:r>
            <w:proofErr w:type="spellEnd"/>
            <w:r w:rsidRPr="008317E5">
              <w:rPr>
                <w:sz w:val="20"/>
              </w:rPr>
              <w:t xml:space="preserve"> if PIE is used. </w:t>
            </w:r>
          </w:p>
        </w:tc>
      </w:tr>
    </w:tbl>
    <w:p w:rsidR="0055137F" w:rsidRDefault="0055137F" w:rsidP="0055137F">
      <w:pPr>
        <w:jc w:val="both"/>
        <w:rPr>
          <w:sz w:val="20"/>
          <w:szCs w:val="20"/>
        </w:rPr>
      </w:pPr>
    </w:p>
    <w:p w:rsidR="0055137F" w:rsidRPr="004B1F9E" w:rsidRDefault="0055137F" w:rsidP="0055137F">
      <w:pPr>
        <w:jc w:val="both"/>
        <w:rPr>
          <w:sz w:val="20"/>
          <w:szCs w:val="20"/>
        </w:rPr>
      </w:pPr>
    </w:p>
    <w:p w:rsidR="0055137F" w:rsidRPr="004110A6" w:rsidRDefault="0055137F" w:rsidP="0055137F">
      <w:pPr>
        <w:pStyle w:val="Heading1"/>
        <w:numPr>
          <w:ilvl w:val="0"/>
          <w:numId w:val="2"/>
        </w:numPr>
        <w:jc w:val="both"/>
      </w:pPr>
      <w:r>
        <w:t xml:space="preserve">Discussions </w:t>
      </w:r>
    </w:p>
    <w:p w:rsidR="0055137F" w:rsidRPr="008317E5" w:rsidRDefault="0055137F" w:rsidP="0055137F">
      <w:pPr>
        <w:jc w:val="both"/>
        <w:rPr>
          <w:sz w:val="20"/>
          <w:szCs w:val="20"/>
        </w:rPr>
      </w:pPr>
      <w:r w:rsidRPr="008317E5">
        <w:rPr>
          <w:sz w:val="20"/>
          <w:szCs w:val="20"/>
        </w:rPr>
        <w:t xml:space="preserve">Given the device's complexity, the </w:t>
      </w:r>
      <w:proofErr w:type="spellStart"/>
      <w:r w:rsidRPr="008317E5">
        <w:rPr>
          <w:sz w:val="20"/>
          <w:szCs w:val="20"/>
        </w:rPr>
        <w:t>AIoT</w:t>
      </w:r>
      <w:proofErr w:type="spellEnd"/>
      <w:r w:rsidRPr="008317E5">
        <w:rPr>
          <w:sz w:val="20"/>
          <w:szCs w:val="20"/>
        </w:rPr>
        <w:t xml:space="preserve"> device is not expected to perform the sophisticated downlink and uplink synchronization as the NR UE, where the UE wakes up and searches through a frequency raster and looks for a synchronization signal. For </w:t>
      </w:r>
      <w:proofErr w:type="spellStart"/>
      <w:r w:rsidRPr="008317E5">
        <w:rPr>
          <w:sz w:val="20"/>
          <w:szCs w:val="20"/>
        </w:rPr>
        <w:t>AIoT</w:t>
      </w:r>
      <w:proofErr w:type="spellEnd"/>
      <w:r w:rsidRPr="008317E5">
        <w:rPr>
          <w:sz w:val="20"/>
          <w:szCs w:val="20"/>
        </w:rPr>
        <w:t xml:space="preserve">, a very simple approach is required for the operation of these devices. Due to the limited power storage capabilities of </w:t>
      </w:r>
      <w:proofErr w:type="spellStart"/>
      <w:r w:rsidRPr="008317E5">
        <w:rPr>
          <w:sz w:val="20"/>
          <w:szCs w:val="20"/>
        </w:rPr>
        <w:t>AIoT</w:t>
      </w:r>
      <w:proofErr w:type="spellEnd"/>
      <w:r w:rsidRPr="008317E5">
        <w:rPr>
          <w:sz w:val="20"/>
          <w:szCs w:val="20"/>
        </w:rPr>
        <w:t xml:space="preserve"> devices, long-term synchronization is not possible. These devices are extracted to operate asynchronously, as all these devices may have different power-harvesting cycles. </w:t>
      </w:r>
    </w:p>
    <w:p w:rsidR="0055137F" w:rsidRPr="008317E5" w:rsidRDefault="0055137F" w:rsidP="0055137F">
      <w:pPr>
        <w:pStyle w:val="Heading1"/>
        <w:numPr>
          <w:ilvl w:val="1"/>
          <w:numId w:val="4"/>
        </w:numPr>
        <w:pBdr>
          <w:top w:val="none" w:sz="0" w:space="0" w:color="auto"/>
        </w:pBdr>
        <w:suppressAutoHyphens w:val="0"/>
        <w:spacing w:before="360" w:after="80" w:line="256" w:lineRule="auto"/>
        <w:jc w:val="both"/>
        <w:textAlignment w:val="auto"/>
      </w:pPr>
      <w:r w:rsidRPr="008317E5">
        <w:t xml:space="preserve"> D2R Transmission</w:t>
      </w:r>
    </w:p>
    <w:p w:rsidR="0055137F" w:rsidRPr="008317E5" w:rsidRDefault="0055137F" w:rsidP="0055137F">
      <w:pPr>
        <w:snapToGrid w:val="0"/>
        <w:spacing w:after="120" w:line="280" w:lineRule="atLeast"/>
        <w:jc w:val="both"/>
        <w:rPr>
          <w:sz w:val="20"/>
          <w:szCs w:val="20"/>
        </w:rPr>
      </w:pPr>
      <w:r w:rsidRPr="008317E5">
        <w:rPr>
          <w:rFonts w:hint="eastAsia"/>
          <w:sz w:val="20"/>
          <w:szCs w:val="20"/>
        </w:rPr>
        <w:t>Based on the RAN-level study conclusion [</w:t>
      </w:r>
      <w:r w:rsidRPr="008317E5">
        <w:rPr>
          <w:sz w:val="20"/>
          <w:szCs w:val="20"/>
        </w:rPr>
        <w:t>2</w:t>
      </w:r>
      <w:r w:rsidRPr="008317E5">
        <w:rPr>
          <w:rFonts w:hint="eastAsia"/>
          <w:sz w:val="20"/>
          <w:szCs w:val="20"/>
        </w:rPr>
        <w:t>], the max TB size is less than 1000</w:t>
      </w:r>
      <w:r w:rsidRPr="008317E5">
        <w:rPr>
          <w:sz w:val="20"/>
          <w:szCs w:val="20"/>
        </w:rPr>
        <w:t xml:space="preserve"> </w:t>
      </w:r>
      <w:r w:rsidRPr="008317E5">
        <w:rPr>
          <w:rFonts w:hint="eastAsia"/>
          <w:sz w:val="20"/>
          <w:szCs w:val="20"/>
        </w:rPr>
        <w:t>bi</w:t>
      </w:r>
      <w:r w:rsidRPr="008317E5">
        <w:rPr>
          <w:sz w:val="20"/>
          <w:szCs w:val="20"/>
        </w:rPr>
        <w:t>t</w:t>
      </w:r>
      <w:r w:rsidRPr="008317E5">
        <w:rPr>
          <w:rFonts w:hint="eastAsia"/>
          <w:sz w:val="20"/>
          <w:szCs w:val="20"/>
        </w:rPr>
        <w:t>s</w:t>
      </w:r>
      <w:r w:rsidRPr="008317E5">
        <w:rPr>
          <w:sz w:val="20"/>
          <w:szCs w:val="20"/>
        </w:rPr>
        <w:t xml:space="preserve">. However, depending upon the A-IoT applications as in [3], it can start as low as 100 bits. </w:t>
      </w:r>
      <w:r w:rsidRPr="008317E5">
        <w:rPr>
          <w:rFonts w:hint="eastAsia"/>
          <w:sz w:val="20"/>
          <w:szCs w:val="20"/>
        </w:rPr>
        <w:t>Besides, considering repetition or retransmission is supported in the current NR system, whether such a mechanism can be supported in the Ambient IoT system should be further studied with the consideration of device complexity.</w:t>
      </w:r>
      <w:r w:rsidRPr="008317E5">
        <w:rPr>
          <w:sz w:val="20"/>
          <w:szCs w:val="20"/>
        </w:rPr>
        <w:t xml:space="preserve">  It is evident that, for a long payload, additional synchronization signals called </w:t>
      </w:r>
      <w:proofErr w:type="spellStart"/>
      <w:r w:rsidRPr="008317E5">
        <w:rPr>
          <w:sz w:val="20"/>
          <w:szCs w:val="20"/>
        </w:rPr>
        <w:t>midamble</w:t>
      </w:r>
      <w:proofErr w:type="spellEnd"/>
      <w:r w:rsidRPr="008317E5">
        <w:rPr>
          <w:sz w:val="20"/>
          <w:szCs w:val="20"/>
        </w:rPr>
        <w:t xml:space="preserve"> may be required to maintain the time synchronization. Whereas, for short payload size, the PDRCH should not be overloaded with the </w:t>
      </w:r>
      <w:proofErr w:type="spellStart"/>
      <w:r w:rsidRPr="008317E5">
        <w:rPr>
          <w:sz w:val="20"/>
          <w:szCs w:val="20"/>
        </w:rPr>
        <w:t>midamble</w:t>
      </w:r>
      <w:proofErr w:type="spellEnd"/>
      <w:r w:rsidRPr="008317E5">
        <w:rPr>
          <w:sz w:val="20"/>
          <w:szCs w:val="20"/>
        </w:rPr>
        <w:t xml:space="preserve">. With the presence of </w:t>
      </w:r>
      <w:proofErr w:type="spellStart"/>
      <w:r w:rsidRPr="008317E5">
        <w:rPr>
          <w:sz w:val="20"/>
          <w:szCs w:val="20"/>
        </w:rPr>
        <w:t>midamble</w:t>
      </w:r>
      <w:proofErr w:type="spellEnd"/>
      <w:r w:rsidRPr="008317E5">
        <w:rPr>
          <w:sz w:val="20"/>
          <w:szCs w:val="20"/>
        </w:rPr>
        <w:t xml:space="preserve"> the Reader tracks the timing/frequency or estimates the channel estimation or estimates the interference, that increases the processing and energy consumption. </w:t>
      </w:r>
      <w:r w:rsidRPr="008317E5">
        <w:rPr>
          <w:rFonts w:hint="eastAsia"/>
          <w:sz w:val="20"/>
          <w:szCs w:val="20"/>
        </w:rPr>
        <w:t xml:space="preserve">To signal that the transmission of the target device is not completed yet, assistant information can be provided on the preamble or </w:t>
      </w:r>
      <w:proofErr w:type="spellStart"/>
      <w:r w:rsidRPr="008317E5">
        <w:rPr>
          <w:rFonts w:hint="eastAsia"/>
          <w:sz w:val="20"/>
          <w:szCs w:val="20"/>
        </w:rPr>
        <w:t>postamble</w:t>
      </w:r>
      <w:proofErr w:type="spellEnd"/>
      <w:r w:rsidRPr="008317E5">
        <w:rPr>
          <w:rFonts w:hint="eastAsia"/>
          <w:sz w:val="20"/>
          <w:szCs w:val="20"/>
        </w:rPr>
        <w:t xml:space="preserve"> part to help a better reception at </w:t>
      </w:r>
      <w:r w:rsidRPr="008317E5">
        <w:rPr>
          <w:sz w:val="20"/>
          <w:szCs w:val="20"/>
        </w:rPr>
        <w:t>Reader</w:t>
      </w:r>
      <w:r w:rsidRPr="008317E5">
        <w:rPr>
          <w:rFonts w:hint="eastAsia"/>
          <w:sz w:val="20"/>
          <w:szCs w:val="20"/>
        </w:rPr>
        <w:t>.</w:t>
      </w:r>
      <w:r w:rsidRPr="008317E5">
        <w:rPr>
          <w:sz w:val="20"/>
          <w:szCs w:val="20"/>
        </w:rPr>
        <w:t xml:space="preserve"> 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Observation 1:</w:t>
      </w:r>
      <w:r w:rsidRPr="008317E5">
        <w:rPr>
          <w:sz w:val="20"/>
          <w:szCs w:val="20"/>
          <w:lang w:val="en-US" w:eastAsia="zh-CN"/>
        </w:rPr>
        <w:t xml:space="preserve"> The processing and energy consumption overhead is required minimized through the knowledge of the existence of the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>.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Observation 2:</w:t>
      </w:r>
      <w:r w:rsidRPr="008317E5">
        <w:rPr>
          <w:sz w:val="20"/>
          <w:szCs w:val="20"/>
          <w:lang w:val="en-US" w:eastAsia="zh-CN"/>
        </w:rPr>
        <w:t xml:space="preserve"> The payload size can be used as a presence of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 xml:space="preserve"> or </w:t>
      </w:r>
      <w:proofErr w:type="spellStart"/>
      <w:r w:rsidRPr="008317E5">
        <w:rPr>
          <w:sz w:val="20"/>
          <w:szCs w:val="20"/>
          <w:lang w:val="en-US" w:eastAsia="zh-CN"/>
        </w:rPr>
        <w:t>postamble</w:t>
      </w:r>
      <w:proofErr w:type="spellEnd"/>
      <w:r w:rsidRPr="008317E5">
        <w:rPr>
          <w:sz w:val="20"/>
          <w:szCs w:val="20"/>
          <w:lang w:val="en-US" w:eastAsia="zh-CN"/>
        </w:rPr>
        <w:t>.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Proposal 1</w:t>
      </w:r>
      <w:r w:rsidRPr="008317E5">
        <w:rPr>
          <w:sz w:val="20"/>
          <w:szCs w:val="20"/>
          <w:lang w:val="en-US" w:eastAsia="zh-CN"/>
        </w:rPr>
        <w:t xml:space="preserve">: Use of TBS for indicating the presence of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>.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Proposal 2</w:t>
      </w:r>
      <w:r w:rsidRPr="008317E5">
        <w:rPr>
          <w:sz w:val="20"/>
          <w:szCs w:val="20"/>
          <w:lang w:val="en-US" w:eastAsia="zh-CN"/>
        </w:rPr>
        <w:t xml:space="preserve">: One-bit indicator in the preamble for the existence of the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 xml:space="preserve"> depending upon the TBS. 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Proposal 3</w:t>
      </w:r>
      <w:r w:rsidRPr="008317E5">
        <w:rPr>
          <w:sz w:val="20"/>
          <w:szCs w:val="20"/>
          <w:lang w:val="en-US" w:eastAsia="zh-CN"/>
        </w:rPr>
        <w:t xml:space="preserve">: If the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 xml:space="preserve"> is present, the payload, say X bits is before the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>. The ‘X’ can be decided upon discussion.</w:t>
      </w:r>
    </w:p>
    <w:p w:rsidR="0055137F" w:rsidRDefault="0055137F" w:rsidP="0055137F">
      <w:pPr>
        <w:rPr>
          <w:sz w:val="20"/>
          <w:szCs w:val="20"/>
          <w:lang w:val="en-US" w:eastAsia="zh-CN"/>
        </w:rPr>
      </w:pPr>
    </w:p>
    <w:p w:rsidR="0055137F" w:rsidRDefault="0055137F" w:rsidP="0055137F">
      <w:pPr>
        <w:pStyle w:val="Heading1"/>
        <w:numPr>
          <w:ilvl w:val="0"/>
          <w:numId w:val="2"/>
        </w:numPr>
        <w:jc w:val="both"/>
      </w:pPr>
      <w:r>
        <w:t>Conclusion</w:t>
      </w:r>
    </w:p>
    <w:p w:rsidR="0055137F" w:rsidRPr="008317E5" w:rsidRDefault="0055137F" w:rsidP="0055137F">
      <w:pPr>
        <w:pStyle w:val="ListParagraph"/>
        <w:ind w:left="432"/>
        <w:rPr>
          <w:sz w:val="20"/>
          <w:szCs w:val="20"/>
        </w:rPr>
      </w:pPr>
      <w:r w:rsidRPr="008317E5">
        <w:rPr>
          <w:sz w:val="20"/>
          <w:szCs w:val="20"/>
        </w:rPr>
        <w:t>This paper provides the following observations and proposals.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Observation 1:</w:t>
      </w:r>
      <w:r w:rsidRPr="008317E5">
        <w:rPr>
          <w:sz w:val="20"/>
          <w:szCs w:val="20"/>
          <w:lang w:val="en-US" w:eastAsia="zh-CN"/>
        </w:rPr>
        <w:t xml:space="preserve"> The processing and energy consumption overhead is required minimized through the knowledge of the existence of the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>.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Observation 2:</w:t>
      </w:r>
      <w:r w:rsidRPr="008317E5">
        <w:rPr>
          <w:sz w:val="20"/>
          <w:szCs w:val="20"/>
          <w:lang w:val="en-US" w:eastAsia="zh-CN"/>
        </w:rPr>
        <w:t xml:space="preserve"> The payload size can be used as a presence of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 xml:space="preserve"> or </w:t>
      </w:r>
      <w:proofErr w:type="spellStart"/>
      <w:r w:rsidRPr="008317E5">
        <w:rPr>
          <w:sz w:val="20"/>
          <w:szCs w:val="20"/>
          <w:lang w:val="en-US" w:eastAsia="zh-CN"/>
        </w:rPr>
        <w:t>postamble</w:t>
      </w:r>
      <w:proofErr w:type="spellEnd"/>
      <w:r w:rsidRPr="008317E5">
        <w:rPr>
          <w:sz w:val="20"/>
          <w:szCs w:val="20"/>
          <w:lang w:val="en-US" w:eastAsia="zh-CN"/>
        </w:rPr>
        <w:t>.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Proposal 1</w:t>
      </w:r>
      <w:r w:rsidRPr="008317E5">
        <w:rPr>
          <w:sz w:val="20"/>
          <w:szCs w:val="20"/>
          <w:lang w:val="en-US" w:eastAsia="zh-CN"/>
        </w:rPr>
        <w:t xml:space="preserve">: Use of TBS for indicating the presence of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>.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Proposal 2</w:t>
      </w:r>
      <w:r w:rsidRPr="008317E5">
        <w:rPr>
          <w:sz w:val="20"/>
          <w:szCs w:val="20"/>
          <w:lang w:val="en-US" w:eastAsia="zh-CN"/>
        </w:rPr>
        <w:t xml:space="preserve">: One-bit indicator in the preamble for the existence of the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 xml:space="preserve"> depending upon the TBS. </w:t>
      </w:r>
    </w:p>
    <w:p w:rsidR="0055137F" w:rsidRDefault="0055137F" w:rsidP="0055137F">
      <w:pPr>
        <w:spacing w:before="240"/>
        <w:rPr>
          <w:sz w:val="20"/>
          <w:szCs w:val="20"/>
          <w:lang w:val="en-US" w:eastAsia="zh-CN"/>
        </w:rPr>
      </w:pPr>
      <w:r w:rsidRPr="008317E5">
        <w:rPr>
          <w:b/>
          <w:i/>
          <w:sz w:val="20"/>
          <w:szCs w:val="20"/>
          <w:u w:val="single"/>
          <w:lang w:val="en-US" w:eastAsia="zh-CN"/>
        </w:rPr>
        <w:t>Proposal 3</w:t>
      </w:r>
      <w:r w:rsidRPr="008317E5">
        <w:rPr>
          <w:sz w:val="20"/>
          <w:szCs w:val="20"/>
          <w:lang w:val="en-US" w:eastAsia="zh-CN"/>
        </w:rPr>
        <w:t xml:space="preserve">: If the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 xml:space="preserve"> is present, the payload, say X bits is before the </w:t>
      </w:r>
      <w:proofErr w:type="spellStart"/>
      <w:r w:rsidRPr="008317E5">
        <w:rPr>
          <w:sz w:val="20"/>
          <w:szCs w:val="20"/>
          <w:lang w:val="en-US" w:eastAsia="zh-CN"/>
        </w:rPr>
        <w:t>midamble</w:t>
      </w:r>
      <w:proofErr w:type="spellEnd"/>
      <w:r w:rsidRPr="008317E5">
        <w:rPr>
          <w:sz w:val="20"/>
          <w:szCs w:val="20"/>
          <w:lang w:val="en-US" w:eastAsia="zh-CN"/>
        </w:rPr>
        <w:t>. The ‘X’ can be decided upon discussion.</w:t>
      </w:r>
    </w:p>
    <w:p w:rsidR="0055137F" w:rsidRPr="008317E5" w:rsidRDefault="0055137F" w:rsidP="0055137F">
      <w:pPr>
        <w:spacing w:before="240"/>
        <w:rPr>
          <w:sz w:val="20"/>
          <w:szCs w:val="20"/>
          <w:lang w:val="en-US" w:eastAsia="zh-CN"/>
        </w:rPr>
      </w:pPr>
    </w:p>
    <w:p w:rsidR="0055137F" w:rsidRPr="00A94723" w:rsidRDefault="0055137F" w:rsidP="0055137F">
      <w:pPr>
        <w:pStyle w:val="Heading1"/>
        <w:numPr>
          <w:ilvl w:val="0"/>
          <w:numId w:val="2"/>
        </w:numPr>
        <w:jc w:val="both"/>
      </w:pPr>
      <w:r>
        <w:t>References</w:t>
      </w:r>
    </w:p>
    <w:p w:rsidR="0055137F" w:rsidRPr="00B73A3C" w:rsidRDefault="0055137F" w:rsidP="0055137F">
      <w:pPr>
        <w:pStyle w:val="Referenc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27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B73A3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3GPP RAN1 Chairman’s Notes, 3GPP TSG RAN1 meeting #116_bis, Changsha, China, April 15th – April 19th, 2024</w:t>
      </w:r>
    </w:p>
    <w:p w:rsidR="0055137F" w:rsidRPr="00B73A3C" w:rsidRDefault="0055137F" w:rsidP="0055137F">
      <w:pPr>
        <w:pStyle w:val="Referenc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27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B73A3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 38.848 v18.0.0, Study on Ambient IoT (Internet of Things) in RAN, September 2023.</w:t>
      </w:r>
    </w:p>
    <w:p w:rsidR="0055137F" w:rsidRPr="00B73A3C" w:rsidRDefault="0055137F" w:rsidP="0055137F">
      <w:pPr>
        <w:pStyle w:val="Referenc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27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B73A3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 22.840 v19.0.0, Technical Specification Group Services and System Aspects; Study on Ambient power-enabled Internet of Things, December 2023.</w:t>
      </w:r>
    </w:p>
    <w:p w:rsidR="0055137F" w:rsidRDefault="0055137F" w:rsidP="0055137F">
      <w:pPr>
        <w:pStyle w:val="BodyText"/>
        <w:snapToGrid w:val="0"/>
        <w:spacing w:beforeLines="50" w:before="120" w:line="266" w:lineRule="auto"/>
        <w:contextualSpacing/>
        <w:jc w:val="both"/>
        <w:rPr>
          <w:color w:val="000000"/>
          <w:lang w:eastAsia="zh-CN"/>
        </w:rPr>
      </w:pPr>
    </w:p>
    <w:p w:rsidR="0055137F" w:rsidRPr="00EF1B51" w:rsidRDefault="0055137F" w:rsidP="0055137F">
      <w:pPr>
        <w:pStyle w:val="NormalWeb"/>
        <w:spacing w:after="120"/>
        <w:jc w:val="both"/>
        <w:textAlignment w:val="baseline"/>
        <w:rPr>
          <w:b/>
          <w:bCs/>
          <w:color w:val="000000"/>
          <w:sz w:val="20"/>
          <w:szCs w:val="20"/>
          <w:lang w:val="en-GB"/>
        </w:rPr>
      </w:pPr>
    </w:p>
    <w:p w:rsidR="0055137F" w:rsidRDefault="0055137F" w:rsidP="0055137F">
      <w:pPr>
        <w:pStyle w:val="NormalWeb"/>
        <w:spacing w:after="120"/>
        <w:jc w:val="both"/>
        <w:textAlignment w:val="baseline"/>
      </w:pPr>
    </w:p>
    <w:p w:rsidR="009765B0" w:rsidRDefault="009765B0"/>
    <w:sectPr w:rsidR="009765B0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7EC92F56"/>
    <w:multiLevelType w:val="multilevel"/>
    <w:tmpl w:val="4A6EC7B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7F"/>
    <w:rsid w:val="0055137F"/>
    <w:rsid w:val="009765B0"/>
    <w:rsid w:val="00D97F58"/>
    <w:rsid w:val="00EA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D0FD2B"/>
  <w15:chartTrackingRefBased/>
  <w15:docId w15:val="{029511B9-8FC6-4C75-AF6E-C1E21B2C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5137F"/>
    <w:pPr>
      <w:keepNext/>
      <w:keepLines/>
      <w:numPr>
        <w:numId w:val="1"/>
      </w:numPr>
      <w:pBdr>
        <w:top w:val="single" w:sz="12" w:space="3" w:color="000000"/>
      </w:pBdr>
      <w:suppressAutoHyphens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5137F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5137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5137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5137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5137F"/>
    <w:pPr>
      <w:keepNext/>
      <w:keepLines/>
      <w:numPr>
        <w:ilvl w:val="5"/>
        <w:numId w:val="1"/>
      </w:numPr>
      <w:spacing w:before="120" w:after="0" w:line="240" w:lineRule="auto"/>
      <w:outlineLvl w:val="5"/>
    </w:pPr>
    <w:rPr>
      <w:rFonts w:ascii="Times New Roman" w:eastAsia="Times New Roman" w:hAnsi="Times New Roman" w:cs="Arial"/>
      <w:sz w:val="24"/>
      <w:szCs w:val="24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55137F"/>
    <w:pPr>
      <w:keepNext/>
      <w:keepLines/>
      <w:numPr>
        <w:ilvl w:val="6"/>
        <w:numId w:val="1"/>
      </w:numPr>
      <w:spacing w:before="120" w:after="0" w:line="240" w:lineRule="auto"/>
      <w:outlineLvl w:val="6"/>
    </w:pPr>
    <w:rPr>
      <w:rFonts w:ascii="Times New Roman" w:eastAsia="Times New Roman" w:hAnsi="Times New Roman" w:cs="Arial"/>
      <w:sz w:val="24"/>
      <w:szCs w:val="24"/>
      <w:lang w:eastAsia="en-GB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55137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55137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sid w:val="0055137F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55137F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5137F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5137F"/>
    <w:rPr>
      <w:rFonts w:ascii="Times New Roman" w:eastAsia="Malgun Gothic" w:hAnsi="Times New Roman" w:cs="Times New Roma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55137F"/>
    <w:rPr>
      <w:rFonts w:ascii="Times New Roman" w:eastAsia="Malgun Gothic" w:hAnsi="Times New Roman" w:cs="Times New Roman"/>
      <w:lang w:val="en-US"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55137F"/>
    <w:rPr>
      <w:rFonts w:ascii="Times New Roman" w:eastAsia="Times New Roman" w:hAnsi="Times New Roman" w:cs="Arial"/>
      <w:sz w:val="24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55137F"/>
    <w:rPr>
      <w:rFonts w:ascii="Times New Roman" w:eastAsia="Times New Roman" w:hAnsi="Times New Roman" w:cs="Arial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rsid w:val="0055137F"/>
    <w:rPr>
      <w:rFonts w:ascii="Times New Roman" w:eastAsia="Times New Roman" w:hAnsi="Times New Roman" w:cs="Arial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rsid w:val="0055137F"/>
    <w:rPr>
      <w:rFonts w:ascii="Times New Roman" w:eastAsia="Times New Roman" w:hAnsi="Times New Roman" w:cs="Arial"/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55137F"/>
    <w:pPr>
      <w:spacing w:after="140" w:line="276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55137F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3GPPHeader">
    <w:name w:val="3GPP_Header"/>
    <w:basedOn w:val="Normal"/>
    <w:qFormat/>
    <w:rsid w:val="0055137F"/>
    <w:pPr>
      <w:tabs>
        <w:tab w:val="left" w:pos="1701"/>
        <w:tab w:val="right" w:pos="9639"/>
      </w:tabs>
      <w:spacing w:after="240" w:line="240" w:lineRule="auto"/>
    </w:pPr>
    <w:rPr>
      <w:rFonts w:ascii="Times New Roman" w:eastAsia="Times New Roman" w:hAnsi="Times New Roman" w:cs="Times New Roman"/>
      <w:b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qFormat/>
    <w:rsid w:val="0055137F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513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5137F"/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1">
    <w:name w:val="1"/>
    <w:basedOn w:val="TableNormal"/>
    <w:rsid w:val="00551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  <w:tblPr>
      <w:tblStyleRowBandSize w:val="1"/>
      <w:tblStyleColBandSize w:val="1"/>
    </w:tblPr>
  </w:style>
  <w:style w:type="character" w:customStyle="1" w:styleId="ReferenceChar">
    <w:name w:val="Reference Char"/>
    <w:link w:val="Reference"/>
    <w:locked/>
    <w:rsid w:val="0055137F"/>
    <w:rPr>
      <w:rFonts w:ascii="Calibri" w:hAnsi="Calibri" w:cs="Calibri"/>
    </w:rPr>
  </w:style>
  <w:style w:type="paragraph" w:customStyle="1" w:styleId="Reference">
    <w:name w:val="Reference"/>
    <w:basedOn w:val="Normal"/>
    <w:link w:val="ReferenceChar"/>
    <w:rsid w:val="0055137F"/>
    <w:pPr>
      <w:numPr>
        <w:numId w:val="5"/>
      </w:numPr>
      <w:spacing w:line="256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55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720</Words>
  <Characters>3959</Characters>
  <Application>Microsoft Office Word</Application>
  <DocSecurity>0</DocSecurity>
  <Lines>81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2024-05-09T10:49:00Z</dcterms:created>
  <dcterms:modified xsi:type="dcterms:W3CDTF">2024-05-09T11:45:00Z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2dbf292c-3ba5-4396-978e-533a764c0efa</vt:lpwstr>
  </property>
</Properties>
</file>